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D3896" w14:textId="08813DC2" w:rsidR="00CC5E2A" w:rsidRPr="00106621" w:rsidRDefault="00106621" w:rsidP="00106621">
      <w:pPr>
        <w:jc w:val="center"/>
        <w:rPr>
          <w:rFonts w:ascii="Arial" w:hAnsi="Arial" w:cs="Arial"/>
          <w:b/>
          <w:bCs/>
          <w:sz w:val="28"/>
          <w:szCs w:val="28"/>
        </w:rPr>
      </w:pPr>
      <w:r>
        <w:rPr>
          <w:rFonts w:ascii="Arial" w:hAnsi="Arial"/>
          <w:b/>
          <w:sz w:val="28"/>
        </w:rPr>
        <w:t>Tarif de recharge des véhicules électriques</w:t>
      </w:r>
    </w:p>
    <w:p w14:paraId="46F2BA41" w14:textId="2345E6E1" w:rsidR="00106621" w:rsidRDefault="00106621" w:rsidP="00106621">
      <w:pPr>
        <w:jc w:val="center"/>
        <w:rPr>
          <w:rFonts w:ascii="Arial" w:hAnsi="Arial" w:cs="Arial"/>
          <w:b/>
          <w:bCs/>
          <w:sz w:val="28"/>
          <w:szCs w:val="28"/>
        </w:rPr>
      </w:pPr>
      <w:r>
        <w:rPr>
          <w:rFonts w:ascii="Arial" w:hAnsi="Arial"/>
          <w:b/>
          <w:sz w:val="28"/>
        </w:rPr>
        <w:t>Copie du site web pour les distributeurs</w:t>
      </w:r>
    </w:p>
    <w:p w14:paraId="7069B578" w14:textId="77777777" w:rsidR="00106621" w:rsidRDefault="00106621" w:rsidP="00106621">
      <w:pPr>
        <w:rPr>
          <w:rFonts w:ascii="Arial" w:hAnsi="Arial" w:cs="Arial"/>
          <w:b/>
          <w:bCs/>
          <w:sz w:val="24"/>
          <w:szCs w:val="24"/>
        </w:rPr>
      </w:pPr>
    </w:p>
    <w:p w14:paraId="208A717D" w14:textId="2FE154E0" w:rsidR="00106621" w:rsidRPr="00F052E4" w:rsidRDefault="00106621" w:rsidP="00106621">
      <w:pPr>
        <w:rPr>
          <w:rFonts w:ascii="Arial" w:hAnsi="Arial" w:cs="Arial"/>
          <w:sz w:val="24"/>
          <w:szCs w:val="24"/>
        </w:rPr>
      </w:pPr>
      <w:r>
        <w:rPr>
          <w:rFonts w:ascii="Arial" w:hAnsi="Arial"/>
          <w:sz w:val="24"/>
        </w:rPr>
        <w:t>Si vous possédez ou exploitez une borne commerciale de recharge pour véhicules électriques (VE), vous pourriez être admissible au nouveau tarif de recharge des véhicules électriques (tarif EVC).</w:t>
      </w:r>
    </w:p>
    <w:p w14:paraId="49230D83" w14:textId="6F5BA5D6" w:rsidR="002816C0" w:rsidRPr="00F052E4" w:rsidRDefault="002816C0" w:rsidP="00106621">
      <w:pPr>
        <w:rPr>
          <w:rFonts w:ascii="Arial" w:hAnsi="Arial" w:cs="Arial"/>
          <w:sz w:val="24"/>
          <w:szCs w:val="24"/>
        </w:rPr>
      </w:pPr>
      <w:r>
        <w:rPr>
          <w:rFonts w:ascii="Arial" w:hAnsi="Arial"/>
          <w:sz w:val="24"/>
        </w:rPr>
        <w:t>Le tarif EVC est un tarif de livraison d’électricité conçu spécifiquement pour les bornes de recharge pour VE admissibles en Ontario</w:t>
      </w:r>
      <w:r>
        <w:rPr>
          <w:sz w:val="24"/>
        </w:rPr>
        <w:t xml:space="preserve"> </w:t>
      </w:r>
      <w:r>
        <w:rPr>
          <w:rFonts w:ascii="Arial" w:hAnsi="Arial"/>
          <w:sz w:val="24"/>
        </w:rPr>
        <w:t xml:space="preserve">afin de mieux refléter les coûts de transport pour desservir les bornes avec de faibles facteurs de charge. Il réduit les tarifs des services de transport de détail (RTSR) payés par les bornes de recharge de VE participantes. </w:t>
      </w:r>
    </w:p>
    <w:p w14:paraId="591A21C7" w14:textId="21535783" w:rsidR="002816C0" w:rsidRPr="00F052E4" w:rsidRDefault="002816C0" w:rsidP="002816C0">
      <w:pPr>
        <w:rPr>
          <w:rFonts w:ascii="Arial" w:hAnsi="Arial" w:cs="Arial"/>
          <w:b/>
          <w:bCs/>
          <w:sz w:val="24"/>
          <w:szCs w:val="24"/>
        </w:rPr>
      </w:pPr>
      <w:r>
        <w:rPr>
          <w:rFonts w:ascii="Arial" w:hAnsi="Arial"/>
          <w:b/>
          <w:sz w:val="24"/>
        </w:rPr>
        <w:t>Qui peut tirer profit du tarif EVC?</w:t>
      </w:r>
    </w:p>
    <w:p w14:paraId="5A8EB86B" w14:textId="25F14FAD" w:rsidR="002816C0" w:rsidRPr="00F052E4" w:rsidRDefault="002816C0" w:rsidP="002816C0">
      <w:pPr>
        <w:rPr>
          <w:rFonts w:ascii="Arial" w:hAnsi="Arial" w:cs="Arial"/>
          <w:sz w:val="24"/>
          <w:szCs w:val="24"/>
        </w:rPr>
      </w:pPr>
      <w:r>
        <w:rPr>
          <w:rFonts w:ascii="Arial" w:hAnsi="Arial"/>
          <w:sz w:val="24"/>
        </w:rPr>
        <w:t xml:space="preserve">Les bornes de recharge pour VE doivent répondre à tous les critères suivants pour bénéficier du tarif EVC : </w:t>
      </w:r>
    </w:p>
    <w:p w14:paraId="3045B4A4" w14:textId="77777777" w:rsidR="002816C0" w:rsidRPr="00F052E4" w:rsidRDefault="002816C0" w:rsidP="002816C0">
      <w:pPr>
        <w:pStyle w:val="ListParagraph"/>
        <w:numPr>
          <w:ilvl w:val="0"/>
          <w:numId w:val="4"/>
        </w:numPr>
        <w:rPr>
          <w:rFonts w:ascii="Arial" w:hAnsi="Arial" w:cs="Arial"/>
          <w:sz w:val="24"/>
          <w:szCs w:val="24"/>
        </w:rPr>
      </w:pPr>
      <w:r>
        <w:rPr>
          <w:rFonts w:ascii="Arial" w:hAnsi="Arial"/>
          <w:sz w:val="24"/>
        </w:rPr>
        <w:t>Disposer d’au moins une borne de recharge rapide à courant continu,</w:t>
      </w:r>
    </w:p>
    <w:p w14:paraId="7D2FD443" w14:textId="20A50AE6" w:rsidR="002816C0" w:rsidRPr="00F052E4" w:rsidRDefault="00773083" w:rsidP="002816C0">
      <w:pPr>
        <w:pStyle w:val="ListParagraph"/>
        <w:numPr>
          <w:ilvl w:val="0"/>
          <w:numId w:val="4"/>
        </w:numPr>
        <w:rPr>
          <w:rFonts w:ascii="Arial" w:hAnsi="Arial" w:cs="Arial"/>
          <w:sz w:val="24"/>
          <w:szCs w:val="24"/>
        </w:rPr>
      </w:pPr>
      <w:r>
        <w:rPr>
          <w:rFonts w:ascii="Arial" w:hAnsi="Arial"/>
          <w:sz w:val="24"/>
        </w:rPr>
        <w:t>Veiller à ce qu’au moins 90 % de la demande de pointe mensuelle totale soit imputable à la recharge des VE,</w:t>
      </w:r>
    </w:p>
    <w:p w14:paraId="2EEF02A1" w14:textId="16A84A4E" w:rsidR="002816C0" w:rsidRPr="00F052E4" w:rsidRDefault="00530C1F" w:rsidP="002816C0">
      <w:pPr>
        <w:pStyle w:val="ListParagraph"/>
        <w:numPr>
          <w:ilvl w:val="0"/>
          <w:numId w:val="4"/>
        </w:numPr>
        <w:rPr>
          <w:rFonts w:ascii="Arial" w:hAnsi="Arial" w:cs="Arial"/>
          <w:sz w:val="24"/>
          <w:szCs w:val="24"/>
        </w:rPr>
      </w:pPr>
      <w:r>
        <w:rPr>
          <w:rFonts w:ascii="Arial" w:hAnsi="Arial"/>
          <w:sz w:val="24"/>
        </w:rPr>
        <w:t xml:space="preserve">Avoir </w:t>
      </w:r>
      <w:r w:rsidR="00773083">
        <w:rPr>
          <w:rFonts w:ascii="Arial" w:hAnsi="Arial"/>
          <w:sz w:val="24"/>
        </w:rPr>
        <w:t>une demande de pointe mensuelle comprise entre 50 et 4 999 kW,</w:t>
      </w:r>
    </w:p>
    <w:p w14:paraId="2244B0BC" w14:textId="4EC70A2C" w:rsidR="002816C0" w:rsidRPr="00F052E4" w:rsidRDefault="00773083" w:rsidP="002816C0">
      <w:pPr>
        <w:pStyle w:val="ListParagraph"/>
        <w:numPr>
          <w:ilvl w:val="0"/>
          <w:numId w:val="4"/>
        </w:numPr>
        <w:rPr>
          <w:rFonts w:ascii="Arial" w:hAnsi="Arial" w:cs="Arial"/>
          <w:sz w:val="24"/>
          <w:szCs w:val="24"/>
        </w:rPr>
      </w:pPr>
      <w:r>
        <w:rPr>
          <w:rFonts w:ascii="Arial" w:hAnsi="Arial"/>
          <w:sz w:val="24"/>
        </w:rPr>
        <w:t>Avoir un facteur de charge moyen inférieur ou égal à 20 % sur 12 mois,</w:t>
      </w:r>
    </w:p>
    <w:p w14:paraId="0759EF21" w14:textId="25ACBE46" w:rsidR="002816C0" w:rsidRPr="00F052E4" w:rsidRDefault="002816C0" w:rsidP="002816C0">
      <w:pPr>
        <w:pStyle w:val="ListParagraph"/>
        <w:numPr>
          <w:ilvl w:val="0"/>
          <w:numId w:val="4"/>
        </w:numPr>
        <w:rPr>
          <w:rFonts w:ascii="Arial" w:hAnsi="Arial" w:cs="Arial"/>
          <w:sz w:val="24"/>
          <w:szCs w:val="24"/>
        </w:rPr>
      </w:pPr>
      <w:r>
        <w:rPr>
          <w:rFonts w:ascii="Arial" w:hAnsi="Arial"/>
          <w:sz w:val="24"/>
        </w:rPr>
        <w:t>Ne doit pas servir principalement les parcs de VE des secteurs commercial et public,</w:t>
      </w:r>
    </w:p>
    <w:p w14:paraId="62079CE0" w14:textId="026E8035" w:rsidR="002816C0" w:rsidRPr="00F052E4" w:rsidRDefault="002816C0" w:rsidP="003C5ADF">
      <w:pPr>
        <w:pStyle w:val="ListParagraph"/>
        <w:numPr>
          <w:ilvl w:val="0"/>
          <w:numId w:val="4"/>
        </w:numPr>
        <w:rPr>
          <w:rFonts w:ascii="Arial" w:hAnsi="Arial" w:cs="Arial"/>
          <w:sz w:val="24"/>
          <w:szCs w:val="24"/>
        </w:rPr>
      </w:pPr>
      <w:r>
        <w:rPr>
          <w:rFonts w:ascii="Arial" w:hAnsi="Arial"/>
          <w:sz w:val="24"/>
        </w:rPr>
        <w:t>Toute ressource énergétique distribuée en aval du compteur du compte ne doit pas dépasser la demande de pointe annuelle de la borne.</w:t>
      </w:r>
    </w:p>
    <w:p w14:paraId="73E74858" w14:textId="41C0D8A5" w:rsidR="00C26281" w:rsidRPr="00F052E4" w:rsidRDefault="00C26281" w:rsidP="00C26281">
      <w:pPr>
        <w:rPr>
          <w:rFonts w:ascii="Arial" w:hAnsi="Arial" w:cs="Arial"/>
          <w:b/>
          <w:bCs/>
          <w:sz w:val="24"/>
          <w:szCs w:val="24"/>
        </w:rPr>
      </w:pPr>
      <w:r>
        <w:rPr>
          <w:rFonts w:ascii="Arial" w:hAnsi="Arial"/>
          <w:b/>
          <w:sz w:val="24"/>
        </w:rPr>
        <w:t>Qui est considéré comme un « client » dans le cadre du tarif EVC?</w:t>
      </w:r>
    </w:p>
    <w:p w14:paraId="71841A06" w14:textId="7961D3FE" w:rsidR="00C26281" w:rsidRPr="00F052E4" w:rsidRDefault="00C26281" w:rsidP="00C26281">
      <w:pPr>
        <w:rPr>
          <w:rFonts w:ascii="Arial" w:hAnsi="Arial" w:cs="Arial"/>
          <w:sz w:val="24"/>
          <w:szCs w:val="24"/>
        </w:rPr>
      </w:pPr>
      <w:r>
        <w:rPr>
          <w:rFonts w:ascii="Arial" w:hAnsi="Arial"/>
          <w:sz w:val="24"/>
        </w:rPr>
        <w:t>Un « client » est le propriétaire ou l’exploitant d’une borne de recharge pour VE dont les installations sont raccordées ou destinées à être raccordées au réseau de distribution d’un distributeur d’électricité. Un client n’est pas l’utilisateur final du service de recharge de VE (par exemple, le conducteur d’un véhicule qui utilise la borne de recharge pour VE).</w:t>
      </w:r>
    </w:p>
    <w:p w14:paraId="11DC967C" w14:textId="77777777" w:rsidR="002816C0" w:rsidRPr="00F052E4" w:rsidRDefault="002816C0" w:rsidP="002816C0">
      <w:pPr>
        <w:rPr>
          <w:rFonts w:ascii="Arial" w:hAnsi="Arial" w:cs="Arial"/>
          <w:sz w:val="24"/>
          <w:szCs w:val="24"/>
        </w:rPr>
      </w:pPr>
      <w:r>
        <w:rPr>
          <w:rFonts w:ascii="Arial" w:hAnsi="Arial"/>
          <w:b/>
          <w:sz w:val="24"/>
        </w:rPr>
        <w:t>Comment le tarif EVC est-il calculé?</w:t>
      </w:r>
    </w:p>
    <w:p w14:paraId="2E16FD9C" w14:textId="21E6A7F2" w:rsidR="0035714A" w:rsidRPr="00F052E4" w:rsidRDefault="0035714A" w:rsidP="0035714A">
      <w:pPr>
        <w:rPr>
          <w:rFonts w:ascii="Arial" w:hAnsi="Arial" w:cs="Arial"/>
          <w:sz w:val="24"/>
          <w:szCs w:val="24"/>
        </w:rPr>
      </w:pPr>
      <w:r>
        <w:rPr>
          <w:rFonts w:ascii="Arial" w:hAnsi="Arial"/>
          <w:sz w:val="24"/>
        </w:rPr>
        <w:t>Le tarif EVC réduit les RTSR que les bornes de recharge pour VE participantes devraient normalement payer. Les RTSR font partie de la facture d’électricité.</w:t>
      </w:r>
    </w:p>
    <w:p w14:paraId="430C083D" w14:textId="77777777" w:rsidR="0035714A" w:rsidRPr="00F052E4" w:rsidRDefault="0035714A" w:rsidP="0035714A">
      <w:pPr>
        <w:rPr>
          <w:rFonts w:ascii="Arial" w:hAnsi="Arial" w:cs="Arial"/>
          <w:sz w:val="24"/>
          <w:szCs w:val="24"/>
        </w:rPr>
      </w:pPr>
      <w:r>
        <w:rPr>
          <w:rFonts w:ascii="Arial" w:hAnsi="Arial"/>
          <w:sz w:val="24"/>
        </w:rPr>
        <w:t>Les clients participants paieront 17 % des RTSR que paieront les autres clients de la catégorie de distributeur des services généraux (50 kW à 4 999 kW). En d’autres termes, si les RTSR de base d’un client sont de 100 $/kW, celui-ci paiera 17 $/kW en vertu du tarif EVC.</w:t>
      </w:r>
    </w:p>
    <w:p w14:paraId="6DABF373" w14:textId="3FA4D956" w:rsidR="0035714A" w:rsidRPr="00F052E4" w:rsidRDefault="0035714A" w:rsidP="0035714A">
      <w:pPr>
        <w:rPr>
          <w:rFonts w:ascii="Arial" w:hAnsi="Arial" w:cs="Arial"/>
          <w:sz w:val="24"/>
          <w:szCs w:val="24"/>
        </w:rPr>
      </w:pPr>
      <w:r>
        <w:rPr>
          <w:rFonts w:ascii="Arial" w:hAnsi="Arial"/>
          <w:sz w:val="24"/>
        </w:rPr>
        <w:lastRenderedPageBreak/>
        <w:t>Le tarif EVC permet de mieux aligner les RTSR payés par les bornes de recharge pour VE participantes avec les coûts du réseau de transport encourus pour les desservir.</w:t>
      </w:r>
    </w:p>
    <w:p w14:paraId="7BCC1B07" w14:textId="77777777" w:rsidR="002816C0" w:rsidRPr="00F052E4" w:rsidRDefault="002816C0" w:rsidP="002816C0">
      <w:pPr>
        <w:rPr>
          <w:rFonts w:ascii="Arial" w:hAnsi="Arial" w:cs="Arial"/>
          <w:b/>
          <w:bCs/>
          <w:sz w:val="24"/>
          <w:szCs w:val="24"/>
        </w:rPr>
      </w:pPr>
      <w:r>
        <w:rPr>
          <w:rFonts w:ascii="Arial" w:hAnsi="Arial"/>
          <w:b/>
          <w:sz w:val="24"/>
        </w:rPr>
        <w:t>Comment puis-je demander à tirer profit du tarif EVC?</w:t>
      </w:r>
    </w:p>
    <w:p w14:paraId="3F2FF6F5" w14:textId="11DD2D90" w:rsidR="002816C0" w:rsidRPr="00F052E4" w:rsidRDefault="002816C0" w:rsidP="002816C0">
      <w:pPr>
        <w:rPr>
          <w:rFonts w:ascii="Arial" w:hAnsi="Arial" w:cs="Arial"/>
          <w:sz w:val="24"/>
          <w:szCs w:val="24"/>
        </w:rPr>
      </w:pPr>
      <w:r>
        <w:rPr>
          <w:rFonts w:ascii="Arial" w:hAnsi="Arial"/>
          <w:sz w:val="24"/>
        </w:rPr>
        <w:t xml:space="preserve">Vous devez nous soumettre un formulaire d’adhésion. </w:t>
      </w:r>
      <w:r>
        <w:rPr>
          <w:rFonts w:ascii="Arial" w:hAnsi="Arial"/>
          <w:i/>
          <w:sz w:val="24"/>
          <w:highlight w:val="yellow"/>
        </w:rPr>
        <w:t>(Le distributeur peut fournir des informations supplémentaires sur la manière dont les clients peuvent recevoir le formulaire d’adhésion ou fournir un lien vers le formulaire ici.)</w:t>
      </w:r>
    </w:p>
    <w:p w14:paraId="5B37F782" w14:textId="73692EB9" w:rsidR="00C26281" w:rsidRPr="00F052E4" w:rsidRDefault="00C26281" w:rsidP="00106621">
      <w:pPr>
        <w:rPr>
          <w:rFonts w:ascii="Arial" w:hAnsi="Arial" w:cs="Arial"/>
          <w:sz w:val="24"/>
          <w:szCs w:val="24"/>
        </w:rPr>
      </w:pPr>
      <w:r>
        <w:rPr>
          <w:rFonts w:ascii="Arial" w:hAnsi="Arial"/>
          <w:b/>
          <w:sz w:val="24"/>
        </w:rPr>
        <w:t>Vous avez d’autres questions?</w:t>
      </w:r>
    </w:p>
    <w:p w14:paraId="18ACDA8E" w14:textId="2796DBC4" w:rsidR="00C26281" w:rsidRPr="00C26281" w:rsidRDefault="00C26281" w:rsidP="00106621">
      <w:pPr>
        <w:rPr>
          <w:rFonts w:ascii="Arial" w:hAnsi="Arial" w:cs="Arial"/>
        </w:rPr>
      </w:pPr>
      <w:r>
        <w:rPr>
          <w:rFonts w:ascii="Arial" w:hAnsi="Arial"/>
          <w:sz w:val="24"/>
        </w:rPr>
        <w:t xml:space="preserve">Contactez-nous à </w:t>
      </w:r>
      <w:r>
        <w:rPr>
          <w:rFonts w:ascii="Arial" w:hAnsi="Arial"/>
          <w:i/>
          <w:sz w:val="24"/>
          <w:highlight w:val="yellow"/>
        </w:rPr>
        <w:t>(le distributeur doit fournir ses coordonnées ici).</w:t>
      </w:r>
    </w:p>
    <w:p w14:paraId="4EBDBCD2" w14:textId="77777777" w:rsidR="00C26281" w:rsidRDefault="00C26281" w:rsidP="00106621">
      <w:pPr>
        <w:rPr>
          <w:rFonts w:ascii="Arial" w:hAnsi="Arial" w:cs="Arial"/>
          <w:b/>
          <w:bCs/>
          <w:sz w:val="28"/>
          <w:szCs w:val="28"/>
        </w:rPr>
      </w:pPr>
    </w:p>
    <w:sectPr w:rsidR="00C2628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6FB34" w14:textId="77777777" w:rsidR="0079499D" w:rsidRDefault="0079499D" w:rsidP="00BE3CD3">
      <w:pPr>
        <w:spacing w:after="0" w:line="240" w:lineRule="auto"/>
      </w:pPr>
      <w:r>
        <w:separator/>
      </w:r>
    </w:p>
  </w:endnote>
  <w:endnote w:type="continuationSeparator" w:id="0">
    <w:p w14:paraId="210D4386" w14:textId="77777777" w:rsidR="0079499D" w:rsidRDefault="0079499D" w:rsidP="00BE3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CBB8C" w14:textId="77777777" w:rsidR="00BE3CD3" w:rsidRDefault="00BE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3EDCB" w14:textId="77777777" w:rsidR="00BE3CD3" w:rsidRDefault="00BE3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B3D74" w14:textId="77777777" w:rsidR="00BE3CD3" w:rsidRDefault="00BE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54980" w14:textId="77777777" w:rsidR="0079499D" w:rsidRDefault="0079499D" w:rsidP="00BE3CD3">
      <w:pPr>
        <w:spacing w:after="0" w:line="240" w:lineRule="auto"/>
      </w:pPr>
      <w:r>
        <w:separator/>
      </w:r>
    </w:p>
  </w:footnote>
  <w:footnote w:type="continuationSeparator" w:id="0">
    <w:p w14:paraId="04433CBE" w14:textId="77777777" w:rsidR="0079499D" w:rsidRDefault="0079499D" w:rsidP="00BE3C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856DB" w14:textId="77777777" w:rsidR="00BE3CD3" w:rsidRDefault="00BE3C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7205" w14:textId="77777777" w:rsidR="00BE3CD3" w:rsidRDefault="00BE3C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01E13" w14:textId="77777777" w:rsidR="00BE3CD3" w:rsidRDefault="00BE3C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C769D4"/>
    <w:multiLevelType w:val="hybridMultilevel"/>
    <w:tmpl w:val="8C066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244FC6"/>
    <w:multiLevelType w:val="multilevel"/>
    <w:tmpl w:val="4AAE8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E23A23"/>
    <w:multiLevelType w:val="hybridMultilevel"/>
    <w:tmpl w:val="782E0226"/>
    <w:lvl w:ilvl="0" w:tplc="518E4F10">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355835"/>
    <w:multiLevelType w:val="hybridMultilevel"/>
    <w:tmpl w:val="4AC6E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2449187">
    <w:abstractNumId w:val="0"/>
  </w:num>
  <w:num w:numId="2" w16cid:durableId="1208301953">
    <w:abstractNumId w:val="3"/>
  </w:num>
  <w:num w:numId="3" w16cid:durableId="771244051">
    <w:abstractNumId w:val="1"/>
  </w:num>
  <w:num w:numId="4" w16cid:durableId="294720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621"/>
    <w:rsid w:val="00001F5E"/>
    <w:rsid w:val="00011E67"/>
    <w:rsid w:val="00025C4B"/>
    <w:rsid w:val="000C5B4C"/>
    <w:rsid w:val="00106621"/>
    <w:rsid w:val="001E5141"/>
    <w:rsid w:val="001F0675"/>
    <w:rsid w:val="00221FE1"/>
    <w:rsid w:val="00267CE6"/>
    <w:rsid w:val="002816C0"/>
    <w:rsid w:val="002A10BC"/>
    <w:rsid w:val="002A2365"/>
    <w:rsid w:val="003270A8"/>
    <w:rsid w:val="0035714A"/>
    <w:rsid w:val="003C5ADF"/>
    <w:rsid w:val="00530C1F"/>
    <w:rsid w:val="005E33D6"/>
    <w:rsid w:val="005E7AEB"/>
    <w:rsid w:val="005F362D"/>
    <w:rsid w:val="005F51AD"/>
    <w:rsid w:val="00636832"/>
    <w:rsid w:val="00644B9A"/>
    <w:rsid w:val="006A1D5D"/>
    <w:rsid w:val="006A6B4B"/>
    <w:rsid w:val="006D2169"/>
    <w:rsid w:val="006D7126"/>
    <w:rsid w:val="00703F56"/>
    <w:rsid w:val="00773083"/>
    <w:rsid w:val="0079499D"/>
    <w:rsid w:val="00860947"/>
    <w:rsid w:val="00875DEA"/>
    <w:rsid w:val="009449FB"/>
    <w:rsid w:val="00983343"/>
    <w:rsid w:val="009B3BD6"/>
    <w:rsid w:val="00A647C0"/>
    <w:rsid w:val="00AF03C6"/>
    <w:rsid w:val="00B34D4E"/>
    <w:rsid w:val="00B75C49"/>
    <w:rsid w:val="00BA6F08"/>
    <w:rsid w:val="00BB54F4"/>
    <w:rsid w:val="00BE3CD3"/>
    <w:rsid w:val="00C16FDF"/>
    <w:rsid w:val="00C26281"/>
    <w:rsid w:val="00CA4A6C"/>
    <w:rsid w:val="00CC5E2A"/>
    <w:rsid w:val="00CC72AC"/>
    <w:rsid w:val="00CF46A0"/>
    <w:rsid w:val="00CF6579"/>
    <w:rsid w:val="00D054D6"/>
    <w:rsid w:val="00DD34AC"/>
    <w:rsid w:val="00DE45F5"/>
    <w:rsid w:val="00E15171"/>
    <w:rsid w:val="00E54718"/>
    <w:rsid w:val="00E84977"/>
    <w:rsid w:val="00EA32A3"/>
    <w:rsid w:val="00EF5A88"/>
    <w:rsid w:val="00F052E4"/>
    <w:rsid w:val="00F17773"/>
    <w:rsid w:val="00F612BF"/>
    <w:rsid w:val="00F7318D"/>
    <w:rsid w:val="00FA5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70B9B9"/>
  <w15:chartTrackingRefBased/>
  <w15:docId w15:val="{69F28F7A-AB83-4F0B-80A5-B5CDBBD96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6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66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662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662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662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662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662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662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662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6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66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66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66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0662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66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66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66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6621"/>
    <w:rPr>
      <w:rFonts w:eastAsiaTheme="majorEastAsia" w:cstheme="majorBidi"/>
      <w:color w:val="272727" w:themeColor="text1" w:themeTint="D8"/>
    </w:rPr>
  </w:style>
  <w:style w:type="paragraph" w:styleId="Title">
    <w:name w:val="Title"/>
    <w:basedOn w:val="Normal"/>
    <w:next w:val="Normal"/>
    <w:link w:val="TitleChar"/>
    <w:uiPriority w:val="10"/>
    <w:qFormat/>
    <w:rsid w:val="001066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66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662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66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6621"/>
    <w:pPr>
      <w:spacing w:before="160"/>
      <w:jc w:val="center"/>
    </w:pPr>
    <w:rPr>
      <w:i/>
      <w:iCs/>
      <w:color w:val="404040" w:themeColor="text1" w:themeTint="BF"/>
    </w:rPr>
  </w:style>
  <w:style w:type="character" w:customStyle="1" w:styleId="QuoteChar">
    <w:name w:val="Quote Char"/>
    <w:basedOn w:val="DefaultParagraphFont"/>
    <w:link w:val="Quote"/>
    <w:uiPriority w:val="29"/>
    <w:rsid w:val="00106621"/>
    <w:rPr>
      <w:i/>
      <w:iCs/>
      <w:color w:val="404040" w:themeColor="text1" w:themeTint="BF"/>
    </w:rPr>
  </w:style>
  <w:style w:type="paragraph" w:styleId="ListParagraph">
    <w:name w:val="List Paragraph"/>
    <w:basedOn w:val="Normal"/>
    <w:uiPriority w:val="34"/>
    <w:qFormat/>
    <w:rsid w:val="00106621"/>
    <w:pPr>
      <w:ind w:left="720"/>
      <w:contextualSpacing/>
    </w:pPr>
  </w:style>
  <w:style w:type="character" w:styleId="IntenseEmphasis">
    <w:name w:val="Intense Emphasis"/>
    <w:basedOn w:val="DefaultParagraphFont"/>
    <w:uiPriority w:val="21"/>
    <w:qFormat/>
    <w:rsid w:val="00106621"/>
    <w:rPr>
      <w:i/>
      <w:iCs/>
      <w:color w:val="0F4761" w:themeColor="accent1" w:themeShade="BF"/>
    </w:rPr>
  </w:style>
  <w:style w:type="paragraph" w:styleId="IntenseQuote">
    <w:name w:val="Intense Quote"/>
    <w:basedOn w:val="Normal"/>
    <w:next w:val="Normal"/>
    <w:link w:val="IntenseQuoteChar"/>
    <w:uiPriority w:val="30"/>
    <w:qFormat/>
    <w:rsid w:val="001066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6621"/>
    <w:rPr>
      <w:i/>
      <w:iCs/>
      <w:color w:val="0F4761" w:themeColor="accent1" w:themeShade="BF"/>
    </w:rPr>
  </w:style>
  <w:style w:type="character" w:styleId="IntenseReference">
    <w:name w:val="Intense Reference"/>
    <w:basedOn w:val="DefaultParagraphFont"/>
    <w:uiPriority w:val="32"/>
    <w:qFormat/>
    <w:rsid w:val="00106621"/>
    <w:rPr>
      <w:b/>
      <w:bCs/>
      <w:smallCaps/>
      <w:color w:val="0F4761" w:themeColor="accent1" w:themeShade="BF"/>
      <w:spacing w:val="5"/>
    </w:rPr>
  </w:style>
  <w:style w:type="character" w:styleId="Hyperlink">
    <w:name w:val="Hyperlink"/>
    <w:basedOn w:val="DefaultParagraphFont"/>
    <w:uiPriority w:val="99"/>
    <w:unhideWhenUsed/>
    <w:rsid w:val="00106621"/>
    <w:rPr>
      <w:color w:val="467886" w:themeColor="hyperlink"/>
      <w:u w:val="single"/>
    </w:rPr>
  </w:style>
  <w:style w:type="character" w:styleId="CommentReference">
    <w:name w:val="annotation reference"/>
    <w:basedOn w:val="DefaultParagraphFont"/>
    <w:uiPriority w:val="99"/>
    <w:semiHidden/>
    <w:unhideWhenUsed/>
    <w:rsid w:val="002816C0"/>
    <w:rPr>
      <w:sz w:val="16"/>
      <w:szCs w:val="16"/>
    </w:rPr>
  </w:style>
  <w:style w:type="paragraph" w:styleId="CommentText">
    <w:name w:val="annotation text"/>
    <w:basedOn w:val="Normal"/>
    <w:link w:val="CommentTextChar"/>
    <w:uiPriority w:val="99"/>
    <w:unhideWhenUsed/>
    <w:rsid w:val="002816C0"/>
    <w:pPr>
      <w:spacing w:line="240" w:lineRule="auto"/>
    </w:pPr>
    <w:rPr>
      <w:sz w:val="20"/>
      <w:szCs w:val="20"/>
    </w:rPr>
  </w:style>
  <w:style w:type="character" w:customStyle="1" w:styleId="CommentTextChar">
    <w:name w:val="Comment Text Char"/>
    <w:basedOn w:val="DefaultParagraphFont"/>
    <w:link w:val="CommentText"/>
    <w:uiPriority w:val="99"/>
    <w:rsid w:val="002816C0"/>
    <w:rPr>
      <w:sz w:val="20"/>
      <w:szCs w:val="20"/>
    </w:rPr>
  </w:style>
  <w:style w:type="paragraph" w:styleId="Revision">
    <w:name w:val="Revision"/>
    <w:hidden/>
    <w:uiPriority w:val="99"/>
    <w:semiHidden/>
    <w:rsid w:val="00E84977"/>
    <w:pPr>
      <w:spacing w:after="0" w:line="240" w:lineRule="auto"/>
    </w:pPr>
  </w:style>
  <w:style w:type="paragraph" w:styleId="CommentSubject">
    <w:name w:val="annotation subject"/>
    <w:basedOn w:val="CommentText"/>
    <w:next w:val="CommentText"/>
    <w:link w:val="CommentSubjectChar"/>
    <w:uiPriority w:val="99"/>
    <w:semiHidden/>
    <w:unhideWhenUsed/>
    <w:rsid w:val="005E7AEB"/>
    <w:rPr>
      <w:b/>
      <w:bCs/>
    </w:rPr>
  </w:style>
  <w:style w:type="character" w:customStyle="1" w:styleId="CommentSubjectChar">
    <w:name w:val="Comment Subject Char"/>
    <w:basedOn w:val="CommentTextChar"/>
    <w:link w:val="CommentSubject"/>
    <w:uiPriority w:val="99"/>
    <w:semiHidden/>
    <w:rsid w:val="005E7AEB"/>
    <w:rPr>
      <w:b/>
      <w:bCs/>
      <w:sz w:val="20"/>
      <w:szCs w:val="20"/>
    </w:rPr>
  </w:style>
  <w:style w:type="character" w:styleId="Mention">
    <w:name w:val="Mention"/>
    <w:basedOn w:val="DefaultParagraphFont"/>
    <w:uiPriority w:val="99"/>
    <w:unhideWhenUsed/>
    <w:rsid w:val="00860947"/>
    <w:rPr>
      <w:color w:val="2B579A"/>
      <w:shd w:val="clear" w:color="auto" w:fill="E1DFDD"/>
    </w:rPr>
  </w:style>
  <w:style w:type="paragraph" w:styleId="Header">
    <w:name w:val="header"/>
    <w:basedOn w:val="Normal"/>
    <w:link w:val="HeaderChar"/>
    <w:uiPriority w:val="99"/>
    <w:unhideWhenUsed/>
    <w:rsid w:val="00BE3C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CD3"/>
  </w:style>
  <w:style w:type="paragraph" w:styleId="Footer">
    <w:name w:val="footer"/>
    <w:basedOn w:val="Normal"/>
    <w:link w:val="FooterChar"/>
    <w:uiPriority w:val="99"/>
    <w:unhideWhenUsed/>
    <w:rsid w:val="00BE3C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C41DCF2DB82C4284B0C301D72AC2D9" ma:contentTypeVersion="13" ma:contentTypeDescription="Create a new document." ma:contentTypeScope="" ma:versionID="36fc203d17beca4765532c18770e3b07">
  <xsd:schema xmlns:xsd="http://www.w3.org/2001/XMLSchema" xmlns:xs="http://www.w3.org/2001/XMLSchema" xmlns:p="http://schemas.microsoft.com/office/2006/metadata/properties" xmlns:ns2="a1970495-c289-4ccc-bec2-742a58e2a93c" xmlns:ns3="47813a0d-714f-4ccc-a067-dbe52dfb20a5" targetNamespace="http://schemas.microsoft.com/office/2006/metadata/properties" ma:root="true" ma:fieldsID="df960565e8b985b3b8af653924c0162e" ns2:_="" ns3:_="">
    <xsd:import namespace="a1970495-c289-4ccc-bec2-742a58e2a93c"/>
    <xsd:import namespace="47813a0d-714f-4ccc-a067-dbe52dfb20a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970495-c289-4ccc-bec2-742a58e2a9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6fef157-3fa8-492c-b9fa-e38244047c1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813a0d-714f-4ccc-a067-dbe52dfb20a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a41c34c6-c54e-4238-84a0-465bccf20370}" ma:internalName="TaxCatchAll" ma:showField="CatchAllData" ma:web="47813a0d-714f-4ccc-a067-dbe52dfb20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970495-c289-4ccc-bec2-742a58e2a93c">
      <Terms xmlns="http://schemas.microsoft.com/office/infopath/2007/PartnerControls"/>
    </lcf76f155ced4ddcb4097134ff3c332f>
    <TaxCatchAll xmlns="47813a0d-714f-4ccc-a067-dbe52dfb20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D7579A-E0F8-4A6B-8A8C-8D44B89A4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970495-c289-4ccc-bec2-742a58e2a93c"/>
    <ds:schemaRef ds:uri="47813a0d-714f-4ccc-a067-dbe52dfb20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7AD584-58E9-4214-AA8E-DB1B890561BB}">
  <ds:schemaRefs>
    <ds:schemaRef ds:uri="http://www.w3.org/XML/1998/namespace"/>
    <ds:schemaRef ds:uri="http://schemas.microsoft.com/office/infopath/2007/PartnerControls"/>
    <ds:schemaRef ds:uri="http://purl.org/dc/elements/1.1/"/>
    <ds:schemaRef ds:uri="http://schemas.microsoft.com/office/2006/documentManagement/types"/>
    <ds:schemaRef ds:uri="47813a0d-714f-4ccc-a067-dbe52dfb20a5"/>
    <ds:schemaRef ds:uri="http://schemas.microsoft.com/office/2006/metadata/properties"/>
    <ds:schemaRef ds:uri="http://schemas.openxmlformats.org/package/2006/metadata/core-properties"/>
    <ds:schemaRef ds:uri="a1970495-c289-4ccc-bec2-742a58e2a93c"/>
    <ds:schemaRef ds:uri="http://purl.org/dc/dcmitype/"/>
    <ds:schemaRef ds:uri="http://purl.org/dc/terms/"/>
  </ds:schemaRefs>
</ds:datastoreItem>
</file>

<file path=customXml/itemProps3.xml><?xml version="1.0" encoding="utf-8"?>
<ds:datastoreItem xmlns:ds="http://schemas.openxmlformats.org/officeDocument/2006/customXml" ds:itemID="{E29C6FE2-9C1B-41FC-95EA-F8588ACEE6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2312</Characters>
  <Application>Microsoft Office Word</Application>
  <DocSecurity>0</DocSecurity>
  <Lines>70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Brautigam</dc:creator>
  <cp:keywords/>
  <dc:description/>
  <cp:lastModifiedBy>Michael Beare</cp:lastModifiedBy>
  <cp:revision>2</cp:revision>
  <dcterms:created xsi:type="dcterms:W3CDTF">2025-09-18T14:17:00Z</dcterms:created>
  <dcterms:modified xsi:type="dcterms:W3CDTF">2025-09-18T14:17:00Z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3ca81584-a633-4c0f-9ef9-e30b5a9f1083</vt:lpwstr>
  </property>
  <property fmtid="{D5CDD505-2E9C-101B-9397-08002B2CF9AE}" pid="3" name="ContentTypeId">
    <vt:lpwstr>0x010100EDC41DCF2DB82C4284B0C301D72AC2D9</vt:lpwstr>
  </property>
  <property fmtid="{D5CDD505-2E9C-101B-9397-08002B2CF9AE}" pid="4" name="MediaServiceImageTags">
    <vt:lpwstr/>
  </property>
</Properties>
</file>